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A095" w14:textId="6FCF565B" w:rsidR="000E449B" w:rsidRDefault="000E449B" w:rsidP="000E449B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030E649" wp14:editId="45033957">
            <wp:extent cx="1172802" cy="872565"/>
            <wp:effectExtent l="0" t="0" r="0" b="3810"/>
            <wp:docPr id="1690577473" name="Picture 1" descr="A logo of a pre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77473" name="Picture 1" descr="A logo of a preschool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533" cy="94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065E" w14:textId="7A343823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7A0A45E6" w:rsidR="0063128A" w:rsidRPr="000E449B" w:rsidRDefault="7ADBBCF1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E449B">
        <w:rPr>
          <w:rFonts w:ascii="Arial" w:hAnsi="Arial" w:cs="Arial"/>
          <w:sz w:val="22"/>
          <w:szCs w:val="22"/>
        </w:rPr>
        <w:t xml:space="preserve">At </w:t>
      </w:r>
      <w:r w:rsidR="000E449B" w:rsidRPr="000E449B">
        <w:rPr>
          <w:rFonts w:ascii="Arial" w:hAnsi="Arial" w:cs="Arial"/>
          <w:sz w:val="22"/>
          <w:szCs w:val="22"/>
        </w:rPr>
        <w:t>Brightside Preschool</w:t>
      </w:r>
      <w:r w:rsidRPr="000E449B">
        <w:rPr>
          <w:rFonts w:ascii="Arial" w:hAnsi="Arial" w:cs="Arial"/>
          <w:sz w:val="22"/>
          <w:szCs w:val="22"/>
        </w:rPr>
        <w:t xml:space="preserve"> a</w:t>
      </w:r>
      <w:r w:rsidR="0063128A" w:rsidRPr="000E449B">
        <w:rPr>
          <w:rFonts w:ascii="Arial" w:hAnsi="Arial" w:cs="Arial"/>
          <w:sz w:val="22"/>
          <w:szCs w:val="22"/>
        </w:rPr>
        <w:t>ll gates and fences are</w:t>
      </w:r>
      <w:r w:rsidR="00A3392B" w:rsidRPr="000E449B">
        <w:rPr>
          <w:rFonts w:ascii="Arial" w:hAnsi="Arial" w:cs="Arial"/>
          <w:sz w:val="22"/>
          <w:szCs w:val="22"/>
        </w:rPr>
        <w:t xml:space="preserve"> childproof, </w:t>
      </w:r>
      <w:r w:rsidR="009E1B45" w:rsidRPr="000E449B">
        <w:rPr>
          <w:rFonts w:ascii="Arial" w:hAnsi="Arial" w:cs="Arial"/>
          <w:sz w:val="22"/>
          <w:szCs w:val="22"/>
        </w:rPr>
        <w:t>safe,</w:t>
      </w:r>
      <w:r w:rsidR="00A3392B" w:rsidRPr="000E449B">
        <w:rPr>
          <w:rFonts w:ascii="Arial" w:hAnsi="Arial" w:cs="Arial"/>
          <w:sz w:val="22"/>
          <w:szCs w:val="22"/>
        </w:rPr>
        <w:t xml:space="preserve"> and secure</w:t>
      </w:r>
      <w:r w:rsidR="0063128A" w:rsidRPr="000E449B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FEE5" w14:textId="77777777" w:rsidR="00B54485" w:rsidRDefault="00B54485">
      <w:r>
        <w:separator/>
      </w:r>
    </w:p>
  </w:endnote>
  <w:endnote w:type="continuationSeparator" w:id="0">
    <w:p w14:paraId="1877233A" w14:textId="77777777" w:rsidR="00B54485" w:rsidRDefault="00B54485">
      <w:r>
        <w:continuationSeparator/>
      </w:r>
    </w:p>
  </w:endnote>
  <w:endnote w:type="continuationNotice" w:id="1">
    <w:p w14:paraId="667F7743" w14:textId="77777777" w:rsidR="00B54485" w:rsidRDefault="00B5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0E449B" w:rsidRDefault="4259CBE4" w:rsidP="4259CBE4">
    <w:pPr>
      <w:pStyle w:val="Footer"/>
      <w:rPr>
        <w:rFonts w:ascii="Arial" w:hAnsi="Arial" w:cs="Arial"/>
        <w:sz w:val="20"/>
      </w:rPr>
    </w:pPr>
    <w:r w:rsidRPr="000E449B">
      <w:rPr>
        <w:rFonts w:ascii="Arial" w:hAnsi="Arial" w:cs="Arial"/>
        <w:i/>
        <w:iCs/>
        <w:sz w:val="20"/>
      </w:rPr>
      <w:t>Policies &amp; Procedures for the EYFS 2025/26</w:t>
    </w:r>
    <w:r w:rsidRPr="000E449B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0668" w14:textId="77777777" w:rsidR="00B54485" w:rsidRDefault="00B54485">
      <w:r>
        <w:separator/>
      </w:r>
    </w:p>
  </w:footnote>
  <w:footnote w:type="continuationSeparator" w:id="0">
    <w:p w14:paraId="3E117682" w14:textId="77777777" w:rsidR="00B54485" w:rsidRDefault="00B54485">
      <w:r>
        <w:continuationSeparator/>
      </w:r>
    </w:p>
  </w:footnote>
  <w:footnote w:type="continuationNotice" w:id="1">
    <w:p w14:paraId="6CE97D37" w14:textId="77777777" w:rsidR="00B54485" w:rsidRDefault="00B5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449B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467CD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Alison Whelan</cp:lastModifiedBy>
  <cp:revision>2</cp:revision>
  <cp:lastPrinted>2025-08-29T14:24:00Z</cp:lastPrinted>
  <dcterms:created xsi:type="dcterms:W3CDTF">2025-08-29T14:25:00Z</dcterms:created>
  <dcterms:modified xsi:type="dcterms:W3CDTF">2025-08-29T14:25:00Z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